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управленческий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«Бухгалтерский управленческий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организацию производства и управления в экономическом субъекте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«Бухгалтерский управленческий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аспекты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положения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08.3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управленческий учет»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Питер,</w:t>
            </w:r>
            <w:r>
              <w:rPr/>
              <w:t xml:space="preserve"> </w:t>
            </w:r>
            <w:r>
              <w:rPr>
                <w:rFonts w:ascii="Times New Roman" w:hAnsi="Times New Roman" w:cs="Times New Roman"/>
                <w:color w:val="#000000"/>
                <w:sz w:val="24"/>
                <w:szCs w:val="24"/>
              </w:rPr>
              <w:t>Этрилл,</w:t>
            </w:r>
            <w:r>
              <w:rPr/>
              <w:t xml:space="preserve"> </w:t>
            </w:r>
            <w:r>
              <w:rPr>
                <w:rFonts w:ascii="Times New Roman" w:hAnsi="Times New Roman" w:cs="Times New Roman"/>
                <w:color w:val="#000000"/>
                <w:sz w:val="24"/>
                <w:szCs w:val="24"/>
              </w:rPr>
              <w:t>Эдди,</w:t>
            </w:r>
            <w:r>
              <w:rPr/>
              <w:t xml:space="preserve"> </w:t>
            </w:r>
            <w:r>
              <w:rPr>
                <w:rFonts w:ascii="Times New Roman" w:hAnsi="Times New Roman" w:cs="Times New Roman"/>
                <w:color w:val="#000000"/>
                <w:sz w:val="24"/>
                <w:szCs w:val="24"/>
              </w:rPr>
              <w:t>Маклейни,</w:t>
            </w:r>
            <w:r>
              <w:rPr/>
              <w:t xml:space="preserve"> </w:t>
            </w:r>
            <w:r>
              <w:rPr>
                <w:rFonts w:ascii="Times New Roman" w:hAnsi="Times New Roman" w:cs="Times New Roman"/>
                <w:color w:val="#000000"/>
                <w:sz w:val="24"/>
                <w:szCs w:val="24"/>
              </w:rPr>
              <w:t>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2024-2025_ФГОС3++2024_Бак-ОФО-Э(УАиА)(24)_plx_Бухгалтерский управленческий учет</dc:title>
  <dc:creator>FastReport.NET</dc:creator>
</cp:coreProperties>
</file>